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743A" w14:textId="77777777" w:rsidR="001D7882" w:rsidRPr="009F090E" w:rsidRDefault="001D7882" w:rsidP="001D7882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32"/>
          <w:szCs w:val="32"/>
        </w:rPr>
        <w:t>In the Name of God</w:t>
      </w:r>
    </w:p>
    <w:p w14:paraId="53048B9E" w14:textId="0D7CBC66" w:rsidR="001D7882" w:rsidRPr="009F090E" w:rsidRDefault="00456168" w:rsidP="001D7882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14934398"/>
      <w:r w:rsidRPr="009F090E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706D0F3A" w14:textId="77777777" w:rsidR="001D7882" w:rsidRPr="009F090E" w:rsidRDefault="001D7882" w:rsidP="001D7882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bookmarkEnd w:id="0"/>
    <w:p w14:paraId="22EE1451" w14:textId="32E71475" w:rsidR="001D7882" w:rsidRDefault="001D7882" w:rsidP="00B63089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C7E2B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>Language</w:t>
      </w:r>
      <w:r w:rsidR="00E85CEC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Testing and</w:t>
      </w:r>
      <w:r w:rsidR="00EC7E2B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Assessment</w:t>
      </w:r>
      <w:r w:rsidR="00456168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(M</w:t>
      </w:r>
      <w:r w:rsidR="009F090E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>A</w:t>
      </w:r>
      <w:r w:rsidR="00456168" w:rsidRPr="009F090E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</w:p>
    <w:p w14:paraId="228E1ECD" w14:textId="5362A839" w:rsidR="001D7882" w:rsidRPr="009F090E" w:rsidRDefault="009F090E" w:rsidP="009F090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----------------------------------------------------------------------------------------------------</w:t>
      </w:r>
      <w:r w:rsidR="001D7882" w:rsidRPr="00F8005C">
        <w:rPr>
          <w:rFonts w:asciiTheme="majorBidi" w:hAnsiTheme="majorBidi" w:cstheme="majorBidi"/>
          <w:b/>
          <w:bCs/>
          <w:sz w:val="24"/>
          <w:szCs w:val="24"/>
        </w:rPr>
        <w:t>Instructor:</w:t>
      </w:r>
      <w:r w:rsidR="001D7882" w:rsidRPr="00F8005C">
        <w:rPr>
          <w:rFonts w:asciiTheme="majorBidi" w:hAnsiTheme="majorBidi" w:cstheme="majorBidi"/>
          <w:sz w:val="24"/>
          <w:szCs w:val="24"/>
        </w:rPr>
        <w:t xml:space="preserve"> </w:t>
      </w:r>
      <w:r w:rsidR="00456168">
        <w:rPr>
          <w:rFonts w:asciiTheme="majorBidi" w:hAnsiTheme="majorBidi" w:cstheme="majorBidi"/>
          <w:sz w:val="24"/>
          <w:szCs w:val="24"/>
        </w:rPr>
        <w:t xml:space="preserve">Dr. Z. </w:t>
      </w:r>
      <w:proofErr w:type="spellStart"/>
      <w:r w:rsidR="00456168">
        <w:rPr>
          <w:rFonts w:asciiTheme="majorBidi" w:hAnsiTheme="majorBidi" w:cstheme="majorBidi"/>
          <w:sz w:val="24"/>
          <w:szCs w:val="24"/>
        </w:rPr>
        <w:t>Mirsanjari</w:t>
      </w:r>
      <w:proofErr w:type="spellEnd"/>
    </w:p>
    <w:p w14:paraId="5C8A22D5" w14:textId="07724807" w:rsidR="00E16B22" w:rsidRDefault="001D7882" w:rsidP="009F090E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>Class Meeting Times:</w:t>
      </w:r>
      <w:r w:rsidR="002F5F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56168">
        <w:rPr>
          <w:rFonts w:asciiTheme="majorBidi" w:hAnsiTheme="majorBidi" w:cstheme="majorBidi"/>
          <w:sz w:val="24"/>
          <w:szCs w:val="24"/>
        </w:rPr>
        <w:t>Monday</w:t>
      </w:r>
      <w:r w:rsidR="009F090E">
        <w:rPr>
          <w:rFonts w:asciiTheme="majorBidi" w:hAnsiTheme="majorBidi" w:cstheme="majorBidi"/>
          <w:sz w:val="24"/>
          <w:szCs w:val="24"/>
        </w:rPr>
        <w:t>s</w:t>
      </w:r>
      <w:r w:rsidR="002F5F93">
        <w:rPr>
          <w:rFonts w:asciiTheme="majorBidi" w:hAnsiTheme="majorBidi" w:cstheme="majorBidi"/>
          <w:sz w:val="24"/>
          <w:szCs w:val="24"/>
        </w:rPr>
        <w:t xml:space="preserve">, </w:t>
      </w:r>
      <w:r w:rsidR="00E16B22">
        <w:rPr>
          <w:rFonts w:asciiTheme="majorBidi" w:hAnsiTheme="majorBidi" w:cstheme="majorBidi"/>
          <w:sz w:val="24"/>
          <w:szCs w:val="24"/>
        </w:rPr>
        <w:t>(10:30 - 12)</w:t>
      </w: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090E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E16B22">
        <w:rPr>
          <w:rFonts w:asciiTheme="majorBidi" w:hAnsiTheme="majorBidi" w:cstheme="majorBidi"/>
          <w:b/>
          <w:bCs/>
          <w:sz w:val="24"/>
          <w:szCs w:val="24"/>
        </w:rPr>
        <w:t>Email:</w:t>
      </w:r>
      <w:r w:rsidRPr="00F8005C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E16B22" w:rsidRPr="00662475">
          <w:rPr>
            <w:rStyle w:val="Hyperlink"/>
            <w:rFonts w:asciiTheme="majorBidi" w:hAnsiTheme="majorBidi" w:cstheme="majorBidi"/>
            <w:sz w:val="24"/>
            <w:szCs w:val="24"/>
          </w:rPr>
          <w:t>r.mirsanjari@gmail.com</w:t>
        </w:r>
      </w:hyperlink>
    </w:p>
    <w:p w14:paraId="4641E938" w14:textId="4C4EFE92" w:rsidR="009F090E" w:rsidRDefault="009F090E" w:rsidP="009F090E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14:paraId="0FC960D7" w14:textId="21E4FBC8" w:rsidR="00B63089" w:rsidRPr="009F090E" w:rsidRDefault="001D7882" w:rsidP="00B6308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>Course Description and objectives:</w:t>
      </w:r>
    </w:p>
    <w:p w14:paraId="3B94CB5B" w14:textId="2D118249" w:rsidR="002F5F93" w:rsidRDefault="00560CDA" w:rsidP="00560CDA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>
        <w:rPr>
          <w:rFonts w:asciiTheme="majorBidi" w:hAnsiTheme="majorBidi" w:cstheme="majorBidi"/>
          <w:sz w:val="24"/>
          <w:szCs w:val="24"/>
        </w:rPr>
        <w:t xml:space="preserve"> course is designed for a 13</w:t>
      </w:r>
      <w:r w:rsidRPr="00EF7B79">
        <w:rPr>
          <w:rFonts w:asciiTheme="majorBidi" w:hAnsiTheme="majorBidi" w:cstheme="majorBidi"/>
          <w:sz w:val="24"/>
          <w:szCs w:val="24"/>
        </w:rPr>
        <w:t>-week</w:t>
      </w:r>
      <w:r>
        <w:rPr>
          <w:rFonts w:asciiTheme="majorBidi" w:hAnsiTheme="majorBidi" w:cstheme="majorBidi"/>
          <w:sz w:val="24"/>
          <w:szCs w:val="24"/>
        </w:rPr>
        <w:t xml:space="preserve"> term, meeting two</w:t>
      </w:r>
      <w:r w:rsidRPr="00EF7B79">
        <w:rPr>
          <w:rFonts w:asciiTheme="majorBidi" w:hAnsiTheme="majorBidi" w:cstheme="majorBidi"/>
          <w:sz w:val="24"/>
          <w:szCs w:val="24"/>
        </w:rPr>
        <w:t xml:space="preserve"> hours per week.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F5F93" w:rsidRPr="002F5F93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e</w:t>
      </w:r>
      <w:r w:rsidR="002F5F93" w:rsidRPr="002F5F93">
        <w:rPr>
          <w:rFonts w:asciiTheme="majorBidi" w:hAnsiTheme="majorBidi" w:cstheme="majorBidi"/>
          <w:sz w:val="24"/>
          <w:szCs w:val="24"/>
        </w:rPr>
        <w:t xml:space="preserve"> course is intended to provide students with an understanding of the fundamental goals, concepts, principles, and concerns of second</w:t>
      </w:r>
      <w:r w:rsidR="009F090E">
        <w:rPr>
          <w:rFonts w:asciiTheme="majorBidi" w:hAnsiTheme="majorBidi" w:cstheme="majorBidi"/>
          <w:sz w:val="24"/>
          <w:szCs w:val="24"/>
        </w:rPr>
        <w:t>/</w:t>
      </w:r>
      <w:r w:rsidR="002F5F93" w:rsidRPr="002F5F93">
        <w:rPr>
          <w:rFonts w:asciiTheme="majorBidi" w:hAnsiTheme="majorBidi" w:cstheme="majorBidi"/>
          <w:sz w:val="24"/>
          <w:szCs w:val="24"/>
        </w:rPr>
        <w:t>foreign language assessment and language ass</w:t>
      </w:r>
      <w:r w:rsidR="00DB6420">
        <w:rPr>
          <w:rFonts w:asciiTheme="majorBidi" w:hAnsiTheme="majorBidi" w:cstheme="majorBidi"/>
          <w:sz w:val="24"/>
          <w:szCs w:val="24"/>
        </w:rPr>
        <w:t>essment research.</w:t>
      </w:r>
    </w:p>
    <w:p w14:paraId="564A4530" w14:textId="77777777" w:rsidR="00B63089" w:rsidRDefault="00B63089" w:rsidP="00B6308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A4D2830" w14:textId="77777777" w:rsidR="00B63089" w:rsidRDefault="00B63089" w:rsidP="00B63089">
      <w:pPr>
        <w:jc w:val="both"/>
        <w:rPr>
          <w:rFonts w:asciiTheme="majorBidi" w:hAnsiTheme="majorBidi" w:cstheme="majorBidi"/>
          <w:sz w:val="24"/>
          <w:szCs w:val="24"/>
        </w:rPr>
      </w:pPr>
      <w:r w:rsidRPr="007B0D6E">
        <w:rPr>
          <w:rFonts w:asciiTheme="majorBidi" w:hAnsiTheme="majorBidi" w:cstheme="majorBidi"/>
          <w:sz w:val="24"/>
          <w:szCs w:val="24"/>
        </w:rPr>
        <w:t>By the end of this course, students will be able to:</w:t>
      </w:r>
    </w:p>
    <w:p w14:paraId="7D0BACE6" w14:textId="24B9A997" w:rsidR="00B63089" w:rsidRPr="00B63089" w:rsidRDefault="00B63089" w:rsidP="00B6308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>To understand concepts and analytical procedures associated with current language testing practice</w:t>
      </w:r>
      <w:r w:rsidR="009F090E">
        <w:rPr>
          <w:rFonts w:asciiTheme="majorBidi" w:hAnsiTheme="majorBidi" w:cstheme="majorBidi"/>
        </w:rPr>
        <w:t>;</w:t>
      </w:r>
    </w:p>
    <w:p w14:paraId="43F4F04F" w14:textId="01ABD403" w:rsidR="00B63089" w:rsidRPr="00B63089" w:rsidRDefault="00B63089" w:rsidP="00B6308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>To understand the context in which language assessment takes place</w:t>
      </w:r>
      <w:r w:rsidR="009F090E">
        <w:rPr>
          <w:rFonts w:asciiTheme="majorBidi" w:hAnsiTheme="majorBidi" w:cstheme="majorBidi"/>
        </w:rPr>
        <w:t>;</w:t>
      </w:r>
    </w:p>
    <w:p w14:paraId="26B3F12D" w14:textId="37F11583" w:rsidR="00B63089" w:rsidRPr="00170FAA" w:rsidRDefault="00B63089" w:rsidP="00170FA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>To understand the characteristics of assessment methods that affect performance on language assessments</w:t>
      </w:r>
      <w:r w:rsidR="009F090E">
        <w:rPr>
          <w:rFonts w:asciiTheme="majorBidi" w:hAnsiTheme="majorBidi" w:cstheme="majorBidi"/>
        </w:rPr>
        <w:t>;</w:t>
      </w:r>
    </w:p>
    <w:p w14:paraId="60380318" w14:textId="36D312B1" w:rsidR="001D7882" w:rsidRDefault="00B63089" w:rsidP="005B0C8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B63089">
        <w:rPr>
          <w:rFonts w:asciiTheme="majorBidi" w:hAnsiTheme="majorBidi" w:cstheme="majorBidi"/>
        </w:rPr>
        <w:t>To be familiar with current issues and problems in language assessment and</w:t>
      </w:r>
      <w:r w:rsidR="009E406C">
        <w:rPr>
          <w:rFonts w:asciiTheme="majorBidi" w:hAnsiTheme="majorBidi" w:cstheme="majorBidi"/>
        </w:rPr>
        <w:t xml:space="preserve"> </w:t>
      </w:r>
      <w:r w:rsidRPr="00B63089">
        <w:rPr>
          <w:rFonts w:asciiTheme="majorBidi" w:hAnsiTheme="majorBidi" w:cstheme="majorBidi"/>
        </w:rPr>
        <w:t>language assessment research</w:t>
      </w:r>
      <w:r w:rsidR="009F090E">
        <w:rPr>
          <w:rFonts w:asciiTheme="majorBidi" w:hAnsiTheme="majorBidi" w:cstheme="majorBidi"/>
        </w:rPr>
        <w:t>.</w:t>
      </w:r>
    </w:p>
    <w:p w14:paraId="5FDB8EF3" w14:textId="77777777" w:rsidR="000B70CB" w:rsidRPr="005B0C80" w:rsidRDefault="000B70CB" w:rsidP="000B70CB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14:paraId="0507FB50" w14:textId="77777777" w:rsidR="001D7882" w:rsidRPr="009F090E" w:rsidRDefault="001D7882" w:rsidP="001D788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Assignments: </w:t>
      </w:r>
      <w:r w:rsidRPr="009F09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F09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1E40E948" w14:textId="77777777" w:rsidR="001D7882" w:rsidRDefault="001D7882" w:rsidP="001D7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8005C">
        <w:rPr>
          <w:rFonts w:asciiTheme="majorBidi" w:hAnsiTheme="majorBidi" w:cstheme="majorBidi"/>
          <w:b/>
          <w:bCs/>
        </w:rPr>
        <w:t>Active class participation and preparation:</w:t>
      </w:r>
    </w:p>
    <w:p w14:paraId="3B4231FE" w14:textId="136B8841" w:rsidR="000B70CB" w:rsidRPr="00E96529" w:rsidRDefault="00B63089" w:rsidP="00E96529">
      <w:pPr>
        <w:pStyle w:val="ListParagraph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A6E0B">
        <w:rPr>
          <w:rFonts w:asciiTheme="majorBidi" w:hAnsiTheme="majorBidi" w:cstheme="majorBidi"/>
          <w:lang w:bidi="fa-IR"/>
        </w:rPr>
        <w:t>Each student must be well-prepared every session.</w:t>
      </w:r>
      <w:r w:rsidRPr="00FA6E0B">
        <w:rPr>
          <w:rFonts w:asciiTheme="majorBidi" w:hAnsiTheme="majorBidi" w:cstheme="majorBidi"/>
        </w:rPr>
        <w:t xml:space="preserve"> </w:t>
      </w:r>
      <w:r w:rsidRPr="00FA6E0B">
        <w:rPr>
          <w:rFonts w:asciiTheme="majorBidi" w:hAnsiTheme="majorBidi" w:cstheme="majorBidi"/>
          <w:lang w:bidi="fa-IR"/>
        </w:rPr>
        <w:t xml:space="preserve">Students are required to study the assigned chapters carefully and prepare themselves for class discussions. </w:t>
      </w:r>
      <w:r w:rsidRPr="00B04D11">
        <w:rPr>
          <w:rFonts w:asciiTheme="majorBidi" w:eastAsiaTheme="minorHAnsi" w:hAnsiTheme="majorBidi" w:cstheme="majorBidi"/>
        </w:rPr>
        <w:t xml:space="preserve">Simply showing up does not </w:t>
      </w:r>
      <w:r w:rsidR="009F090E">
        <w:rPr>
          <w:rFonts w:asciiTheme="majorBidi" w:eastAsiaTheme="minorHAnsi" w:hAnsiTheme="majorBidi" w:cstheme="majorBidi"/>
        </w:rPr>
        <w:t>necessarily lead to</w:t>
      </w:r>
      <w:r w:rsidRPr="00B04D11">
        <w:rPr>
          <w:rFonts w:asciiTheme="majorBidi" w:eastAsiaTheme="minorHAnsi" w:hAnsiTheme="majorBidi" w:cstheme="majorBidi"/>
        </w:rPr>
        <w:t xml:space="preserve"> active participation.</w:t>
      </w:r>
    </w:p>
    <w:p w14:paraId="7584B802" w14:textId="77777777" w:rsidR="005B0C80" w:rsidRPr="005B0C80" w:rsidRDefault="005B0C80" w:rsidP="005B0C80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14:paraId="7F9423A7" w14:textId="77777777" w:rsidR="001D7882" w:rsidRDefault="0023758D" w:rsidP="001D7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Final project</w:t>
      </w:r>
      <w:r w:rsidR="001D7882" w:rsidRPr="00F8005C">
        <w:rPr>
          <w:rFonts w:asciiTheme="majorBidi" w:hAnsiTheme="majorBidi" w:cstheme="majorBidi"/>
          <w:b/>
          <w:bCs/>
        </w:rPr>
        <w:t>:</w:t>
      </w:r>
    </w:p>
    <w:p w14:paraId="7128B27A" w14:textId="28F13B17" w:rsidR="005B0C80" w:rsidRPr="006149A6" w:rsidRDefault="005B0C80" w:rsidP="007D4D3E">
      <w:pPr>
        <w:pStyle w:val="FootnoteText"/>
        <w:spacing w:line="276" w:lineRule="auto"/>
        <w:ind w:left="7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B0C80">
        <w:rPr>
          <w:rFonts w:asciiTheme="majorBidi" w:hAnsiTheme="majorBidi" w:cstheme="majorBidi"/>
          <w:sz w:val="24"/>
          <w:szCs w:val="24"/>
        </w:rPr>
        <w:t xml:space="preserve">You are required to review </w:t>
      </w:r>
      <w:r w:rsidR="00BD34B9">
        <w:rPr>
          <w:rFonts w:asciiTheme="majorBidi" w:hAnsiTheme="majorBidi" w:cstheme="majorBidi"/>
          <w:sz w:val="24"/>
          <w:szCs w:val="24"/>
        </w:rPr>
        <w:t>t</w:t>
      </w:r>
      <w:r w:rsidR="00333549">
        <w:rPr>
          <w:rFonts w:asciiTheme="majorBidi" w:hAnsiTheme="majorBidi" w:cstheme="majorBidi"/>
          <w:sz w:val="24"/>
          <w:szCs w:val="24"/>
        </w:rPr>
        <w:t>hree</w:t>
      </w:r>
      <w:r w:rsidR="00A413B7">
        <w:rPr>
          <w:rFonts w:asciiTheme="majorBidi" w:hAnsiTheme="majorBidi" w:cstheme="majorBidi"/>
          <w:sz w:val="24"/>
          <w:szCs w:val="24"/>
        </w:rPr>
        <w:t xml:space="preserve"> related</w:t>
      </w:r>
      <w:r w:rsidRPr="005B0C80">
        <w:rPr>
          <w:rFonts w:asciiTheme="majorBidi" w:hAnsiTheme="majorBidi" w:cstheme="majorBidi"/>
          <w:sz w:val="24"/>
          <w:szCs w:val="24"/>
        </w:rPr>
        <w:t xml:space="preserve"> paper</w:t>
      </w:r>
      <w:r>
        <w:rPr>
          <w:rFonts w:asciiTheme="majorBidi" w:hAnsiTheme="majorBidi" w:cstheme="majorBidi"/>
          <w:sz w:val="24"/>
          <w:szCs w:val="24"/>
        </w:rPr>
        <w:t>s</w:t>
      </w:r>
      <w:r w:rsidRPr="005B0C80">
        <w:rPr>
          <w:rFonts w:asciiTheme="majorBidi" w:hAnsiTheme="majorBidi" w:cstheme="majorBidi"/>
          <w:sz w:val="24"/>
          <w:szCs w:val="24"/>
        </w:rPr>
        <w:t xml:space="preserve"> recent</w:t>
      </w:r>
      <w:r>
        <w:rPr>
          <w:rFonts w:asciiTheme="majorBidi" w:hAnsiTheme="majorBidi" w:cstheme="majorBidi"/>
          <w:sz w:val="24"/>
          <w:szCs w:val="24"/>
        </w:rPr>
        <w:t>ly published on language testing</w:t>
      </w:r>
      <w:r w:rsidR="00217F61">
        <w:rPr>
          <w:rFonts w:asciiTheme="majorBidi" w:hAnsiTheme="majorBidi" w:cstheme="majorBidi"/>
          <w:sz w:val="24"/>
          <w:szCs w:val="24"/>
        </w:rPr>
        <w:t xml:space="preserve"> and assessment. </w:t>
      </w:r>
      <w:r w:rsidRPr="005B0C80">
        <w:rPr>
          <w:rFonts w:asciiTheme="majorBidi" w:hAnsiTheme="majorBidi" w:cstheme="majorBidi"/>
          <w:sz w:val="24"/>
          <w:szCs w:val="24"/>
        </w:rPr>
        <w:t>You need to</w:t>
      </w:r>
      <w:r w:rsidR="00A413B7">
        <w:rPr>
          <w:rFonts w:asciiTheme="majorBidi" w:hAnsiTheme="majorBidi" w:cstheme="majorBidi"/>
          <w:sz w:val="24"/>
          <w:szCs w:val="24"/>
        </w:rPr>
        <w:t xml:space="preserve"> compare the papers and</w:t>
      </w:r>
      <w:r w:rsidRPr="005B0C80">
        <w:rPr>
          <w:rFonts w:asciiTheme="majorBidi" w:hAnsiTheme="majorBidi" w:cstheme="majorBidi"/>
          <w:sz w:val="24"/>
          <w:szCs w:val="24"/>
        </w:rPr>
        <w:t xml:space="preserve"> comment on the relevance of the review of literature, design of the study,</w:t>
      </w:r>
      <w:r w:rsidR="0023758D">
        <w:rPr>
          <w:rFonts w:asciiTheme="majorBidi" w:hAnsiTheme="majorBidi" w:cstheme="majorBidi"/>
          <w:sz w:val="24"/>
          <w:szCs w:val="24"/>
        </w:rPr>
        <w:t xml:space="preserve"> data analysis, and conclusion (</w:t>
      </w:r>
      <w:r w:rsidR="0023758D" w:rsidRPr="006149A6">
        <w:rPr>
          <w:rFonts w:asciiTheme="majorBidi" w:hAnsiTheme="majorBidi" w:cstheme="majorBidi"/>
          <w:i/>
          <w:iCs/>
          <w:sz w:val="24"/>
          <w:szCs w:val="24"/>
        </w:rPr>
        <w:t xml:space="preserve">deadline: last session!).  </w:t>
      </w:r>
    </w:p>
    <w:p w14:paraId="4153F96B" w14:textId="77777777" w:rsidR="00686F56" w:rsidRDefault="00686F56" w:rsidP="00686F56">
      <w:pPr>
        <w:pStyle w:val="ListParagraph"/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454AEE3F" w14:textId="1600E413" w:rsidR="0049051C" w:rsidRPr="008A1F75" w:rsidRDefault="007F23F4" w:rsidP="008A1F7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Midterm: </w:t>
      </w:r>
      <w:r w:rsidRPr="00996F76">
        <w:rPr>
          <w:rFonts w:asciiTheme="majorBidi" w:hAnsiTheme="majorBidi" w:cstheme="majorBidi"/>
        </w:rPr>
        <w:t>An in-cla</w:t>
      </w:r>
      <w:r>
        <w:rPr>
          <w:rFonts w:asciiTheme="majorBidi" w:hAnsiTheme="majorBidi" w:cstheme="majorBidi"/>
        </w:rPr>
        <w:t>ss midterm exam</w:t>
      </w:r>
      <w:r w:rsidRPr="00996F76">
        <w:rPr>
          <w:rFonts w:asciiTheme="majorBidi" w:hAnsiTheme="majorBidi" w:cstheme="majorBidi"/>
        </w:rPr>
        <w:t xml:space="preserve">, covering topics dealt with in class up to </w:t>
      </w:r>
      <w:r>
        <w:rPr>
          <w:rFonts w:asciiTheme="majorBidi" w:hAnsiTheme="majorBidi" w:cstheme="majorBidi"/>
        </w:rPr>
        <w:t>that point.</w:t>
      </w:r>
    </w:p>
    <w:p w14:paraId="3BF459DF" w14:textId="77777777" w:rsidR="00BD34B9" w:rsidRDefault="00BD34B9" w:rsidP="000328D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7F9D05" w14:textId="506B29A4" w:rsidR="009A2823" w:rsidRPr="00F8005C" w:rsidRDefault="001D7882" w:rsidP="001B6DD5">
      <w:pPr>
        <w:jc w:val="both"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lastRenderedPageBreak/>
        <w:t>Note:</w:t>
      </w:r>
      <w:r w:rsidRPr="00F8005C">
        <w:rPr>
          <w:rFonts w:asciiTheme="majorBidi" w:hAnsiTheme="majorBidi" w:cstheme="majorBidi"/>
          <w:sz w:val="24"/>
          <w:szCs w:val="24"/>
        </w:rPr>
        <w:t xml:space="preserve"> The early bird catches the worm. “</w:t>
      </w:r>
      <w:r w:rsidRPr="00F8005C">
        <w:rPr>
          <w:rFonts w:asciiTheme="majorBidi" w:hAnsiTheme="majorBidi" w:cstheme="majorBidi"/>
          <w:sz w:val="24"/>
          <w:szCs w:val="24"/>
          <w:u w:val="single"/>
        </w:rPr>
        <w:t>Please be on time</w:t>
      </w:r>
      <w:r w:rsidRPr="00F8005C">
        <w:rPr>
          <w:rFonts w:asciiTheme="majorBidi" w:hAnsiTheme="majorBidi" w:cstheme="majorBidi"/>
          <w:sz w:val="24"/>
          <w:szCs w:val="24"/>
        </w:rPr>
        <w:t>.”</w:t>
      </w:r>
    </w:p>
    <w:p w14:paraId="0DB7B1A5" w14:textId="77777777" w:rsidR="001D7882" w:rsidRPr="00BD34B9" w:rsidRDefault="001D7882" w:rsidP="001D788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D34B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Course 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770"/>
        <w:gridCol w:w="3528"/>
      </w:tblGrid>
      <w:tr w:rsidR="001D7882" w:rsidRPr="00F8005C" w14:paraId="3888E711" w14:textId="77777777" w:rsidTr="00C56E1A">
        <w:tc>
          <w:tcPr>
            <w:tcW w:w="1278" w:type="dxa"/>
          </w:tcPr>
          <w:p w14:paraId="5B26BEE9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</w:t>
            </w:r>
          </w:p>
          <w:p w14:paraId="7876E4C8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433BB54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3528" w:type="dxa"/>
          </w:tcPr>
          <w:p w14:paraId="4FA643EE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</w:t>
            </w:r>
          </w:p>
        </w:tc>
      </w:tr>
      <w:tr w:rsidR="001D7882" w:rsidRPr="00F8005C" w14:paraId="13B56363" w14:textId="77777777" w:rsidTr="00C56E1A">
        <w:tc>
          <w:tcPr>
            <w:tcW w:w="1278" w:type="dxa"/>
          </w:tcPr>
          <w:p w14:paraId="77153656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  <w:p w14:paraId="03D2862B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E71DC17" w14:textId="77777777" w:rsidR="001D7882" w:rsidRPr="00F8005C" w:rsidRDefault="00B27369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Introduction to the C</w:t>
            </w:r>
            <w:r w:rsidR="001D7882"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ourse </w:t>
            </w:r>
          </w:p>
        </w:tc>
        <w:tc>
          <w:tcPr>
            <w:tcW w:w="3528" w:type="dxa"/>
          </w:tcPr>
          <w:p w14:paraId="3115283C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7882" w:rsidRPr="00F8005C" w14:paraId="5644443A" w14:textId="77777777" w:rsidTr="00C56E1A">
        <w:tc>
          <w:tcPr>
            <w:tcW w:w="1278" w:type="dxa"/>
          </w:tcPr>
          <w:p w14:paraId="30B27B6C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4A35A963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7B01BED" w14:textId="77777777" w:rsidR="001D7882" w:rsidRPr="00F8005C" w:rsidRDefault="001D7882" w:rsidP="00CB31E8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B31E8">
              <w:rPr>
                <w:rFonts w:asciiTheme="majorBidi" w:hAnsiTheme="majorBidi" w:cstheme="majorBidi"/>
                <w:sz w:val="24"/>
                <w:szCs w:val="24"/>
              </w:rPr>
              <w:t xml:space="preserve">Language Measurement </w:t>
            </w:r>
          </w:p>
        </w:tc>
        <w:tc>
          <w:tcPr>
            <w:tcW w:w="3528" w:type="dxa"/>
          </w:tcPr>
          <w:p w14:paraId="0A2C083A" w14:textId="77777777" w:rsidR="001D7882" w:rsidRPr="00981E19" w:rsidRDefault="00A77D44" w:rsidP="001D7882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Bachman, pp. 18-53</w:t>
            </w:r>
          </w:p>
        </w:tc>
      </w:tr>
      <w:tr w:rsidR="001D7882" w:rsidRPr="00F8005C" w14:paraId="0D6CF0C7" w14:textId="77777777" w:rsidTr="00C56E1A">
        <w:trPr>
          <w:trHeight w:val="368"/>
        </w:trPr>
        <w:tc>
          <w:tcPr>
            <w:tcW w:w="1278" w:type="dxa"/>
          </w:tcPr>
          <w:p w14:paraId="13FA56E4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14:paraId="05E418F0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A9D53D4" w14:textId="77777777" w:rsidR="00497D23" w:rsidRDefault="001D7882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B31E8">
              <w:rPr>
                <w:rFonts w:asciiTheme="majorBidi" w:hAnsiTheme="majorBidi" w:cstheme="majorBidi"/>
                <w:sz w:val="24"/>
                <w:szCs w:val="24"/>
              </w:rPr>
              <w:t>Uses of Language Tests</w:t>
            </w:r>
          </w:p>
          <w:p w14:paraId="20A5BF0A" w14:textId="6D873CBC" w:rsidR="006E4BE4" w:rsidRPr="00F8005C" w:rsidRDefault="006E4BE4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19EA001" w14:textId="77777777" w:rsidR="001D7882" w:rsidRPr="00981E19" w:rsidRDefault="00981E19" w:rsidP="001D7882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Bachman, </w:t>
            </w:r>
            <w:r w:rsidR="006C2D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pp. 54-80</w:t>
            </w:r>
          </w:p>
        </w:tc>
      </w:tr>
      <w:tr w:rsidR="001D7882" w:rsidRPr="00F8005C" w14:paraId="7A5A4B8D" w14:textId="77777777" w:rsidTr="00C56E1A">
        <w:tc>
          <w:tcPr>
            <w:tcW w:w="1278" w:type="dxa"/>
          </w:tcPr>
          <w:p w14:paraId="275DAE6D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14:paraId="4FF964E9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DA12C44" w14:textId="77777777" w:rsidR="001D7882" w:rsidRDefault="001D7882" w:rsidP="00CB31E8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56E1A">
              <w:rPr>
                <w:rFonts w:asciiTheme="majorBidi" w:hAnsiTheme="majorBidi" w:cstheme="majorBidi"/>
                <w:sz w:val="24"/>
                <w:szCs w:val="24"/>
              </w:rPr>
              <w:t xml:space="preserve">Constructs and Models </w:t>
            </w:r>
          </w:p>
          <w:p w14:paraId="1B2BFC94" w14:textId="06BB8569" w:rsidR="00400965" w:rsidRPr="00F8005C" w:rsidRDefault="00400965" w:rsidP="00CB31E8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</w:tcPr>
          <w:p w14:paraId="0185855F" w14:textId="77777777" w:rsidR="001D7882" w:rsidRPr="00981E19" w:rsidRDefault="00C56E1A" w:rsidP="001D7882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Fulcher &amp; Davidson, pp. 36-51</w:t>
            </w:r>
          </w:p>
        </w:tc>
      </w:tr>
      <w:tr w:rsidR="001D7882" w:rsidRPr="00F8005C" w14:paraId="23FE7D21" w14:textId="77777777" w:rsidTr="00C56E1A">
        <w:tc>
          <w:tcPr>
            <w:tcW w:w="1278" w:type="dxa"/>
          </w:tcPr>
          <w:p w14:paraId="75114958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14:paraId="3337BAB8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C02E128" w14:textId="77777777" w:rsidR="00497D23" w:rsidRDefault="00497D23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Pragmatic assessment </w:t>
            </w:r>
          </w:p>
          <w:p w14:paraId="1584C434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167BE5B" w14:textId="77777777" w:rsidR="001D7882" w:rsidRPr="00981E19" w:rsidRDefault="00D76F49" w:rsidP="001D7882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76F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Jianda</w:t>
            </w:r>
            <w:proofErr w:type="spellEnd"/>
            <w:r w:rsidR="002521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(2005)</w:t>
            </w:r>
          </w:p>
        </w:tc>
      </w:tr>
      <w:tr w:rsidR="001D7882" w:rsidRPr="00F8005C" w14:paraId="2C8F4EB5" w14:textId="77777777" w:rsidTr="00C56E1A">
        <w:tc>
          <w:tcPr>
            <w:tcW w:w="1278" w:type="dxa"/>
          </w:tcPr>
          <w:p w14:paraId="75132D2F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7BB947E0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E075A7C" w14:textId="77777777" w:rsidR="001D7882" w:rsidRDefault="006E4BE4" w:rsidP="00CB31E8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Reliability</w:t>
            </w:r>
          </w:p>
          <w:p w14:paraId="4B26EF22" w14:textId="0B0EB74A" w:rsidR="00E00DCD" w:rsidRPr="00F8005C" w:rsidRDefault="00E00DCD" w:rsidP="00CB31E8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FB0CC03" w14:textId="77777777" w:rsidR="00795C7A" w:rsidRPr="00981E19" w:rsidRDefault="00296454" w:rsidP="001D7882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Brown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169-198</w:t>
            </w:r>
          </w:p>
        </w:tc>
      </w:tr>
      <w:tr w:rsidR="001D7882" w:rsidRPr="00F8005C" w14:paraId="33236816" w14:textId="77777777" w:rsidTr="00C56E1A">
        <w:tc>
          <w:tcPr>
            <w:tcW w:w="1278" w:type="dxa"/>
          </w:tcPr>
          <w:p w14:paraId="10CB3166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14:paraId="5E32E002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0C89147" w14:textId="28288CD1" w:rsidR="001D7882" w:rsidRPr="00BD34B9" w:rsidRDefault="005D6568" w:rsidP="00F8262B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Midterm Exam</w:t>
            </w:r>
          </w:p>
        </w:tc>
        <w:tc>
          <w:tcPr>
            <w:tcW w:w="3528" w:type="dxa"/>
          </w:tcPr>
          <w:p w14:paraId="097A47DC" w14:textId="77777777" w:rsidR="001D7882" w:rsidRPr="00981E19" w:rsidRDefault="001D7882" w:rsidP="00F8262B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D7882" w:rsidRPr="00F8005C" w14:paraId="779D7AD9" w14:textId="77777777" w:rsidTr="00C56E1A">
        <w:tc>
          <w:tcPr>
            <w:tcW w:w="1278" w:type="dxa"/>
          </w:tcPr>
          <w:p w14:paraId="705CF16D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14:paraId="38A6CFD8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2806503" w14:textId="77777777" w:rsidR="00002FAC" w:rsidRDefault="006E4BE4" w:rsidP="00002FAC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Language Test Validity</w:t>
            </w:r>
          </w:p>
          <w:p w14:paraId="42B0123C" w14:textId="72B6EC98" w:rsidR="001D7882" w:rsidRPr="00AA051F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7B8623B" w14:textId="77777777" w:rsidR="001D7882" w:rsidRPr="00981E19" w:rsidRDefault="006E4BE4" w:rsidP="00002FAC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Fulcher &amp; Davidson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3-22</w:t>
            </w:r>
          </w:p>
        </w:tc>
      </w:tr>
      <w:tr w:rsidR="001D7882" w:rsidRPr="00F8005C" w14:paraId="6031DB4E" w14:textId="77777777" w:rsidTr="00C56E1A">
        <w:tc>
          <w:tcPr>
            <w:tcW w:w="1278" w:type="dxa"/>
          </w:tcPr>
          <w:p w14:paraId="6F7EDC20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14:paraId="70CFBD38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C9B0873" w14:textId="77777777" w:rsidR="001D7882" w:rsidRPr="00F8005C" w:rsidRDefault="007D71ED" w:rsidP="00EE7D92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Classroom Assessment </w:t>
            </w:r>
          </w:p>
        </w:tc>
        <w:tc>
          <w:tcPr>
            <w:tcW w:w="3528" w:type="dxa"/>
          </w:tcPr>
          <w:p w14:paraId="12A00E67" w14:textId="77777777" w:rsidR="001D7882" w:rsidRDefault="007D71ED" w:rsidP="00693BE8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Fulcher &amp; Davidson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23-35</w:t>
            </w:r>
          </w:p>
          <w:p w14:paraId="21554B2E" w14:textId="77777777" w:rsidR="00693BE8" w:rsidRPr="00981E19" w:rsidRDefault="00693BE8" w:rsidP="00693BE8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Katz (2014)</w:t>
            </w:r>
          </w:p>
        </w:tc>
      </w:tr>
      <w:tr w:rsidR="001D7882" w:rsidRPr="00F8005C" w14:paraId="64599EE5" w14:textId="77777777" w:rsidTr="00C56E1A">
        <w:trPr>
          <w:trHeight w:val="435"/>
        </w:trPr>
        <w:tc>
          <w:tcPr>
            <w:tcW w:w="1278" w:type="dxa"/>
          </w:tcPr>
          <w:p w14:paraId="73B736FE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14:paraId="56C5B18C" w14:textId="77777777" w:rsidR="001D7882" w:rsidRPr="00F8005C" w:rsidRDefault="001D7882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9392AB0" w14:textId="77777777" w:rsidR="006E4BE4" w:rsidRDefault="006E4BE4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Washback or Backwash</w:t>
            </w:r>
          </w:p>
          <w:p w14:paraId="2127922F" w14:textId="77777777" w:rsidR="001D7882" w:rsidRPr="00F8005C" w:rsidRDefault="006E4BE4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Methodology in Washback Studies</w:t>
            </w:r>
          </w:p>
        </w:tc>
        <w:tc>
          <w:tcPr>
            <w:tcW w:w="3528" w:type="dxa"/>
          </w:tcPr>
          <w:p w14:paraId="061FCC73" w14:textId="77777777" w:rsidR="006E4BE4" w:rsidRDefault="006E4BE4" w:rsidP="006E4BE4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Cheng &amp;</w:t>
            </w:r>
            <w:r w:rsidRPr="00FB1D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Curtis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(2004)</w:t>
            </w:r>
          </w:p>
          <w:p w14:paraId="0CF3142C" w14:textId="77777777" w:rsidR="006D322D" w:rsidRPr="00981E19" w:rsidRDefault="006E4BE4" w:rsidP="006E4BE4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1D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Watanabe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(2004)</w:t>
            </w:r>
          </w:p>
        </w:tc>
      </w:tr>
      <w:tr w:rsidR="001D7882" w:rsidRPr="00F8005C" w14:paraId="58228A96" w14:textId="77777777" w:rsidTr="00C56E1A">
        <w:trPr>
          <w:trHeight w:val="375"/>
        </w:trPr>
        <w:tc>
          <w:tcPr>
            <w:tcW w:w="1278" w:type="dxa"/>
          </w:tcPr>
          <w:p w14:paraId="5D3198E5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14:paraId="52C38400" w14:textId="77777777" w:rsidR="006E4BE4" w:rsidRDefault="006E4BE4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85380">
              <w:rPr>
                <w:rFonts w:asciiTheme="majorBidi" w:hAnsiTheme="majorBidi" w:cstheme="majorBidi"/>
                <w:sz w:val="24"/>
                <w:szCs w:val="24"/>
              </w:rPr>
              <w:t>Dynamic Assessment</w:t>
            </w:r>
          </w:p>
          <w:p w14:paraId="31ABC2AD" w14:textId="77777777" w:rsidR="005C5C6A" w:rsidRPr="00F8005C" w:rsidRDefault="005C5C6A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558360C" w14:textId="77777777" w:rsidR="006E4BE4" w:rsidRDefault="006E4BE4" w:rsidP="006E4BE4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Poehner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3-22</w:t>
            </w:r>
          </w:p>
          <w:p w14:paraId="441E43F9" w14:textId="77777777" w:rsidR="00FB1D04" w:rsidRPr="00981E19" w:rsidRDefault="006E4BE4" w:rsidP="006E4BE4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Poehner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43-67</w:t>
            </w:r>
          </w:p>
        </w:tc>
      </w:tr>
      <w:tr w:rsidR="001D7882" w:rsidRPr="00F8005C" w14:paraId="0B71E0C4" w14:textId="77777777" w:rsidTr="00C56E1A">
        <w:trPr>
          <w:trHeight w:val="315"/>
        </w:trPr>
        <w:tc>
          <w:tcPr>
            <w:tcW w:w="1278" w:type="dxa"/>
          </w:tcPr>
          <w:p w14:paraId="402B823F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14:paraId="603077FC" w14:textId="77777777" w:rsidR="006E4BE4" w:rsidRDefault="006E4BE4" w:rsidP="006E4BE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Assessment Literacy</w:t>
            </w:r>
          </w:p>
          <w:p w14:paraId="3E77FB3A" w14:textId="77777777" w:rsidR="00C545AC" w:rsidRPr="00F8005C" w:rsidRDefault="00C545AC" w:rsidP="00002FAC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BEDC381" w14:textId="77777777" w:rsidR="001A41DF" w:rsidRPr="00981E19" w:rsidRDefault="002C00A2" w:rsidP="005C5C6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Koh,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et.al  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  <w:r w:rsidR="006E4B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1D7882" w:rsidRPr="00F8005C" w14:paraId="4E2B8A6B" w14:textId="77777777" w:rsidTr="00C56E1A">
        <w:trPr>
          <w:trHeight w:val="240"/>
        </w:trPr>
        <w:tc>
          <w:tcPr>
            <w:tcW w:w="1278" w:type="dxa"/>
          </w:tcPr>
          <w:p w14:paraId="2AC87BD2" w14:textId="77777777" w:rsidR="001D7882" w:rsidRPr="00F8005C" w:rsidRDefault="001D7882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70" w:type="dxa"/>
          </w:tcPr>
          <w:p w14:paraId="6842FF1A" w14:textId="77777777" w:rsidR="00C901A0" w:rsidRDefault="005C5C6A" w:rsidP="00C901A0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Ethics and Equity</w:t>
            </w:r>
            <w:r w:rsidR="00C901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418426" w14:textId="77777777" w:rsidR="00C545AC" w:rsidRPr="00F8005C" w:rsidRDefault="00C545AC" w:rsidP="00F8262B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0577A1BD" w14:textId="77777777" w:rsidR="005C5C6A" w:rsidRDefault="005C5C6A" w:rsidP="005C5C6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1E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Gips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pp. 144-157</w:t>
            </w:r>
          </w:p>
          <w:p w14:paraId="598493EB" w14:textId="77777777" w:rsidR="001D7882" w:rsidRPr="00981E19" w:rsidRDefault="005C5C6A" w:rsidP="005C5C6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Farhady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(2006)</w:t>
            </w:r>
          </w:p>
        </w:tc>
      </w:tr>
      <w:tr w:rsidR="00BD34B9" w:rsidRPr="00F8005C" w14:paraId="20906F37" w14:textId="77777777" w:rsidTr="00C56E1A">
        <w:trPr>
          <w:trHeight w:val="240"/>
        </w:trPr>
        <w:tc>
          <w:tcPr>
            <w:tcW w:w="1278" w:type="dxa"/>
          </w:tcPr>
          <w:p w14:paraId="6F7F6770" w14:textId="14413281" w:rsidR="00BD34B9" w:rsidRPr="00F8005C" w:rsidRDefault="00BD34B9" w:rsidP="00F8262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70" w:type="dxa"/>
          </w:tcPr>
          <w:p w14:paraId="6C5718FE" w14:textId="53A4BED5" w:rsidR="00BD34B9" w:rsidRPr="00BD34B9" w:rsidRDefault="00BD34B9" w:rsidP="00C901A0">
            <w:pPr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Final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xam </w:t>
            </w:r>
          </w:p>
          <w:p w14:paraId="05B02A14" w14:textId="360EAEDD" w:rsidR="00BD34B9" w:rsidRDefault="00BD34B9" w:rsidP="00C901A0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28" w:type="dxa"/>
          </w:tcPr>
          <w:p w14:paraId="524AF471" w14:textId="77777777" w:rsidR="00BD34B9" w:rsidRPr="00981E19" w:rsidRDefault="00BD34B9" w:rsidP="005C5C6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07E0B20" w14:textId="77777777" w:rsidR="007C76C7" w:rsidRDefault="007C76C7" w:rsidP="00FC1B0B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7DB806" w14:textId="77777777" w:rsidR="00DA07D5" w:rsidRDefault="00DA07D5" w:rsidP="00FC1B0B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7AB13F" w14:textId="524E32D7" w:rsidR="00FC1B0B" w:rsidRDefault="00333549" w:rsidP="0033354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354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Grading: </w:t>
      </w:r>
    </w:p>
    <w:p w14:paraId="63A7693E" w14:textId="3400FF4E" w:rsidR="00333549" w:rsidRDefault="00333549" w:rsidP="0033354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3549">
        <w:rPr>
          <w:rFonts w:asciiTheme="majorBidi" w:hAnsiTheme="majorBidi" w:cstheme="majorBidi"/>
          <w:sz w:val="24"/>
          <w:szCs w:val="24"/>
        </w:rPr>
        <w:t>Class participation and discussion                                       5 points</w:t>
      </w:r>
    </w:p>
    <w:p w14:paraId="254F1E6B" w14:textId="2047017F" w:rsidR="00333549" w:rsidRDefault="00333549" w:rsidP="0033354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Midterm                                                                                5 points</w:t>
      </w:r>
    </w:p>
    <w:p w14:paraId="19F7101D" w14:textId="77777777" w:rsidR="00333549" w:rsidRDefault="00333549" w:rsidP="0033354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Final project                                                                          3 points </w:t>
      </w:r>
    </w:p>
    <w:p w14:paraId="5F111E88" w14:textId="1E7442FF" w:rsidR="00333549" w:rsidRDefault="00333549" w:rsidP="0033354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Final exam                                                                             7 points </w:t>
      </w:r>
    </w:p>
    <w:p w14:paraId="01CF6347" w14:textId="0C205517" w:rsidR="00333549" w:rsidRDefault="00333549" w:rsidP="0033354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AEEA43E" w14:textId="77777777" w:rsidR="00FC1B0B" w:rsidRPr="00333549" w:rsidRDefault="00FC1B0B" w:rsidP="00FC1B0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354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Required Texts</w:t>
      </w:r>
      <w:r w:rsidR="000328DC" w:rsidRPr="00333549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501F96A5" w14:textId="77777777" w:rsidR="000328DC" w:rsidRDefault="00405422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405422">
        <w:rPr>
          <w:rFonts w:asciiTheme="majorBidi" w:hAnsiTheme="majorBidi" w:cstheme="majorBidi"/>
          <w:sz w:val="24"/>
          <w:szCs w:val="24"/>
        </w:rPr>
        <w:t xml:space="preserve">Bachman, L. (1990). </w:t>
      </w:r>
      <w:r w:rsidRPr="0045318D">
        <w:rPr>
          <w:rFonts w:asciiTheme="majorBidi" w:hAnsiTheme="majorBidi" w:cstheme="majorBidi"/>
          <w:i/>
          <w:iCs/>
          <w:sz w:val="24"/>
          <w:szCs w:val="24"/>
        </w:rPr>
        <w:t>Fundamental considerations in language testing.</w:t>
      </w:r>
      <w:r>
        <w:rPr>
          <w:rFonts w:asciiTheme="majorBidi" w:hAnsiTheme="majorBidi" w:cstheme="majorBidi"/>
          <w:sz w:val="24"/>
          <w:szCs w:val="24"/>
        </w:rPr>
        <w:t xml:space="preserve"> Oxford: Oxford University Press. </w:t>
      </w:r>
    </w:p>
    <w:p w14:paraId="66E313A7" w14:textId="77777777" w:rsidR="0045318D" w:rsidRDefault="0045318D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5318D">
        <w:rPr>
          <w:rFonts w:asciiTheme="majorBidi" w:hAnsiTheme="majorBidi" w:cstheme="majorBidi"/>
          <w:sz w:val="24"/>
          <w:szCs w:val="24"/>
          <w:lang w:bidi="fa-IR"/>
        </w:rPr>
        <w:t xml:space="preserve">Brown, J. D. (2005). </w:t>
      </w:r>
      <w:r w:rsidRPr="0045318D">
        <w:rPr>
          <w:rFonts w:asciiTheme="majorBidi" w:hAnsiTheme="majorBidi" w:cstheme="majorBidi"/>
          <w:i/>
          <w:iCs/>
          <w:sz w:val="24"/>
          <w:szCs w:val="24"/>
          <w:lang w:bidi="fa-IR"/>
        </w:rPr>
        <w:t>Testing in language program</w:t>
      </w:r>
      <w:r w:rsidRPr="0045318D">
        <w:rPr>
          <w:rFonts w:asciiTheme="majorBidi" w:hAnsiTheme="majorBidi" w:cstheme="majorBidi"/>
          <w:sz w:val="24"/>
          <w:szCs w:val="24"/>
          <w:lang w:bidi="fa-IR"/>
        </w:rPr>
        <w:t>: A comprehensive guide to English language assessment. New York: McGraw-Hill ESL/ELT.</w:t>
      </w:r>
    </w:p>
    <w:p w14:paraId="3075D419" w14:textId="77777777" w:rsidR="00660B7C" w:rsidRDefault="00660B7C" w:rsidP="00660B7C">
      <w:pPr>
        <w:ind w:left="900" w:hanging="90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60B7C">
        <w:rPr>
          <w:rFonts w:asciiTheme="majorBidi" w:hAnsiTheme="majorBidi" w:cstheme="majorBidi"/>
          <w:sz w:val="24"/>
          <w:szCs w:val="24"/>
          <w:lang w:bidi="fa-IR"/>
        </w:rPr>
        <w:t>Cheng</w:t>
      </w:r>
      <w:r>
        <w:rPr>
          <w:rFonts w:asciiTheme="majorBidi" w:hAnsiTheme="majorBidi" w:cstheme="majorBidi"/>
          <w:sz w:val="24"/>
          <w:szCs w:val="24"/>
          <w:lang w:bidi="fa-IR"/>
        </w:rPr>
        <w:t>, L., &amp;</w:t>
      </w:r>
      <w:r w:rsidRPr="00660B7C">
        <w:rPr>
          <w:rFonts w:asciiTheme="majorBidi" w:hAnsiTheme="majorBidi" w:cstheme="majorBidi"/>
          <w:sz w:val="24"/>
          <w:szCs w:val="24"/>
          <w:lang w:bidi="fa-IR"/>
        </w:rPr>
        <w:t xml:space="preserve"> Curtis</w:t>
      </w:r>
      <w:r>
        <w:rPr>
          <w:rFonts w:asciiTheme="majorBidi" w:hAnsiTheme="majorBidi" w:cstheme="majorBidi"/>
          <w:sz w:val="24"/>
          <w:szCs w:val="24"/>
          <w:lang w:bidi="fa-IR"/>
        </w:rPr>
        <w:t>, A. (2004). Washback or b</w:t>
      </w:r>
      <w:r w:rsidRPr="00660B7C">
        <w:rPr>
          <w:rFonts w:asciiTheme="majorBidi" w:hAnsiTheme="majorBidi" w:cstheme="majorBidi"/>
          <w:sz w:val="24"/>
          <w:szCs w:val="24"/>
          <w:lang w:bidi="fa-IR"/>
        </w:rPr>
        <w:t>ackwash: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 review of the impact of t</w:t>
      </w:r>
      <w:r w:rsidRPr="00660B7C">
        <w:rPr>
          <w:rFonts w:asciiTheme="majorBidi" w:hAnsiTheme="majorBidi" w:cstheme="majorBidi"/>
          <w:sz w:val="24"/>
          <w:szCs w:val="24"/>
          <w:lang w:bidi="fa-IR"/>
        </w:rPr>
        <w:t>esting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on teaching and l</w:t>
      </w:r>
      <w:r w:rsidRPr="00660B7C">
        <w:rPr>
          <w:rFonts w:asciiTheme="majorBidi" w:hAnsiTheme="majorBidi" w:cstheme="majorBidi"/>
          <w:sz w:val="24"/>
          <w:szCs w:val="24"/>
          <w:lang w:bidi="fa-IR"/>
        </w:rPr>
        <w:t>earning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9B0442">
        <w:rPr>
          <w:rFonts w:asciiTheme="majorBidi" w:hAnsiTheme="majorBidi" w:cstheme="majorBidi"/>
          <w:sz w:val="24"/>
          <w:szCs w:val="24"/>
          <w:lang w:bidi="fa-IR"/>
        </w:rPr>
        <w:t xml:space="preserve"> In L. Cheng, Y. Watanabe, &amp; A. Curtis (Eds.), </w:t>
      </w:r>
      <w:r w:rsidR="009B0442" w:rsidRPr="009B0442">
        <w:rPr>
          <w:rFonts w:asciiTheme="majorBidi" w:hAnsiTheme="majorBidi" w:cstheme="majorBidi"/>
          <w:i/>
          <w:iCs/>
          <w:sz w:val="24"/>
          <w:szCs w:val="24"/>
          <w:lang w:bidi="fa-IR"/>
        </w:rPr>
        <w:t>Washback in language testing: Research contexts and methods</w:t>
      </w:r>
      <w:r w:rsidR="00534CD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B0442">
        <w:rPr>
          <w:rFonts w:asciiTheme="majorBidi" w:hAnsiTheme="majorBidi" w:cstheme="majorBidi"/>
          <w:sz w:val="24"/>
          <w:szCs w:val="24"/>
          <w:lang w:bidi="fa-IR"/>
        </w:rPr>
        <w:t xml:space="preserve">(pp. 3-17). London: </w:t>
      </w:r>
      <w:r w:rsidR="009B0442" w:rsidRPr="009B0442">
        <w:rPr>
          <w:rFonts w:asciiTheme="majorBidi" w:hAnsiTheme="majorBidi" w:cstheme="majorBidi"/>
          <w:sz w:val="24"/>
          <w:szCs w:val="24"/>
          <w:lang w:bidi="fa-IR"/>
        </w:rPr>
        <w:t>L</w:t>
      </w:r>
      <w:r w:rsidR="009B0442">
        <w:rPr>
          <w:rFonts w:asciiTheme="majorBidi" w:hAnsiTheme="majorBidi" w:cstheme="majorBidi"/>
          <w:sz w:val="24"/>
          <w:szCs w:val="24"/>
          <w:lang w:bidi="fa-IR"/>
        </w:rPr>
        <w:t>awrence</w:t>
      </w:r>
      <w:r w:rsidR="009B0442" w:rsidRPr="009B044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B0442">
        <w:rPr>
          <w:rFonts w:asciiTheme="majorBidi" w:hAnsiTheme="majorBidi" w:cstheme="majorBidi"/>
          <w:sz w:val="24"/>
          <w:szCs w:val="24"/>
          <w:lang w:bidi="fa-IR"/>
        </w:rPr>
        <w:t xml:space="preserve">Erlbaum Associates, Publisher. </w:t>
      </w:r>
    </w:p>
    <w:p w14:paraId="3356822C" w14:textId="77777777" w:rsidR="00855FCD" w:rsidRDefault="00534464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Farhady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>, H. (1999</w:t>
      </w:r>
      <w:r w:rsidR="00855FCD">
        <w:rPr>
          <w:rFonts w:asciiTheme="majorBidi" w:hAnsiTheme="majorBidi" w:cstheme="majorBidi"/>
          <w:sz w:val="24"/>
          <w:szCs w:val="24"/>
          <w:lang w:bidi="fa-IR"/>
        </w:rPr>
        <w:t xml:space="preserve">).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Ethics in language testing. </w:t>
      </w:r>
      <w:proofErr w:type="spellStart"/>
      <w:r w:rsidRPr="00534464">
        <w:rPr>
          <w:rFonts w:asciiTheme="majorBidi" w:hAnsiTheme="majorBidi" w:cstheme="majorBidi"/>
          <w:sz w:val="24"/>
          <w:szCs w:val="24"/>
          <w:lang w:bidi="fa-IR"/>
        </w:rPr>
        <w:t>Moddaress</w:t>
      </w:r>
      <w:proofErr w:type="spellEnd"/>
      <w:r w:rsidRPr="00534464">
        <w:rPr>
          <w:rFonts w:asciiTheme="majorBidi" w:hAnsiTheme="majorBidi" w:cstheme="majorBidi"/>
          <w:sz w:val="24"/>
          <w:szCs w:val="24"/>
          <w:lang w:bidi="fa-IR"/>
        </w:rPr>
        <w:t>, 3 (11) (1999).</w:t>
      </w:r>
    </w:p>
    <w:p w14:paraId="18CCA994" w14:textId="77777777" w:rsidR="008D47BF" w:rsidRDefault="007B18E0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7B18E0">
        <w:rPr>
          <w:rFonts w:asciiTheme="majorBidi" w:hAnsiTheme="majorBidi" w:cstheme="majorBidi"/>
          <w:sz w:val="24"/>
          <w:szCs w:val="24"/>
        </w:rPr>
        <w:t>Fulc</w:t>
      </w:r>
      <w:r>
        <w:rPr>
          <w:rFonts w:asciiTheme="majorBidi" w:hAnsiTheme="majorBidi" w:cstheme="majorBidi"/>
          <w:sz w:val="24"/>
          <w:szCs w:val="24"/>
        </w:rPr>
        <w:t>her, G.</w:t>
      </w:r>
      <w:r w:rsidR="00660B7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&amp; Davidson, F.  (2007).</w:t>
      </w:r>
      <w:r w:rsidRPr="007B18E0">
        <w:rPr>
          <w:rFonts w:asciiTheme="majorBidi" w:hAnsiTheme="majorBidi" w:cstheme="majorBidi"/>
          <w:sz w:val="24"/>
          <w:szCs w:val="24"/>
        </w:rPr>
        <w:t xml:space="preserve"> </w:t>
      </w:r>
      <w:r w:rsidRPr="007B18E0">
        <w:rPr>
          <w:rFonts w:asciiTheme="majorBidi" w:hAnsiTheme="majorBidi" w:cstheme="majorBidi"/>
          <w:i/>
          <w:iCs/>
          <w:sz w:val="24"/>
          <w:szCs w:val="24"/>
        </w:rPr>
        <w:t>Language testing and assessment</w:t>
      </w:r>
      <w:r>
        <w:rPr>
          <w:rFonts w:asciiTheme="majorBidi" w:hAnsiTheme="majorBidi" w:cstheme="majorBidi"/>
          <w:sz w:val="24"/>
          <w:szCs w:val="24"/>
        </w:rPr>
        <w:t>.</w:t>
      </w:r>
      <w:r w:rsidRPr="007B18E0">
        <w:rPr>
          <w:rFonts w:asciiTheme="majorBidi" w:hAnsiTheme="majorBidi" w:cstheme="majorBidi"/>
          <w:sz w:val="24"/>
          <w:szCs w:val="24"/>
        </w:rPr>
        <w:t xml:space="preserve"> London: Routledge.</w:t>
      </w:r>
    </w:p>
    <w:p w14:paraId="7E925333" w14:textId="77777777" w:rsidR="00BD0B3A" w:rsidRDefault="00BD0B3A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BD0B3A">
        <w:rPr>
          <w:rFonts w:asciiTheme="majorBidi" w:hAnsiTheme="majorBidi" w:cstheme="majorBidi"/>
          <w:sz w:val="24"/>
          <w:szCs w:val="24"/>
        </w:rPr>
        <w:t xml:space="preserve">Gipps, C. V. (1994).  </w:t>
      </w:r>
      <w:r w:rsidRPr="00BD0B3A">
        <w:rPr>
          <w:rFonts w:asciiTheme="majorBidi" w:hAnsiTheme="majorBidi" w:cstheme="majorBidi"/>
          <w:i/>
          <w:iCs/>
          <w:sz w:val="24"/>
          <w:szCs w:val="24"/>
        </w:rPr>
        <w:t>Beyond testing: Towards a theory of educational assessment</w:t>
      </w:r>
      <w:r w:rsidRPr="00BD0B3A">
        <w:rPr>
          <w:rFonts w:asciiTheme="majorBidi" w:hAnsiTheme="majorBidi" w:cstheme="majorBidi"/>
          <w:sz w:val="24"/>
          <w:szCs w:val="24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BD0B3A">
            <w:rPr>
              <w:rFonts w:asciiTheme="majorBidi" w:hAnsiTheme="majorBidi" w:cstheme="majorBidi"/>
              <w:sz w:val="24"/>
              <w:szCs w:val="24"/>
            </w:rPr>
            <w:t>London</w:t>
          </w:r>
        </w:smartTag>
      </w:smartTag>
      <w:r w:rsidRPr="00BD0B3A">
        <w:rPr>
          <w:rFonts w:asciiTheme="majorBidi" w:hAnsiTheme="majorBidi" w:cstheme="majorBidi"/>
          <w:sz w:val="24"/>
          <w:szCs w:val="24"/>
        </w:rPr>
        <w:t>: Falmer Press.</w:t>
      </w:r>
    </w:p>
    <w:p w14:paraId="4E8ED3D2" w14:textId="77777777" w:rsidR="008B7DE6" w:rsidRPr="008B7DE6" w:rsidRDefault="008B7DE6" w:rsidP="008B7DE6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B7DE6">
        <w:rPr>
          <w:rFonts w:asciiTheme="majorBidi" w:hAnsiTheme="majorBidi" w:cstheme="majorBidi"/>
          <w:sz w:val="24"/>
          <w:szCs w:val="24"/>
        </w:rPr>
        <w:t>Jianda</w:t>
      </w:r>
      <w:proofErr w:type="spellEnd"/>
      <w:r w:rsidRPr="008B7DE6">
        <w:rPr>
          <w:rFonts w:asciiTheme="majorBidi" w:hAnsiTheme="majorBidi" w:cstheme="majorBidi"/>
          <w:sz w:val="24"/>
          <w:szCs w:val="24"/>
        </w:rPr>
        <w:t xml:space="preserve">, L (2005). Assessing EFL learners’ interlanguage pragmatic knowledge: Implications for testers and teachers. </w:t>
      </w:r>
      <w:r w:rsidRPr="008B7DE6">
        <w:rPr>
          <w:rFonts w:asciiTheme="majorBidi" w:hAnsiTheme="majorBidi" w:cstheme="majorBidi"/>
          <w:i/>
          <w:iCs/>
          <w:sz w:val="24"/>
          <w:szCs w:val="24"/>
        </w:rPr>
        <w:t>Reflections on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English Language Teaching, 5(</w:t>
      </w:r>
      <w:r w:rsidRPr="008B7DE6">
        <w:rPr>
          <w:rFonts w:asciiTheme="majorBidi" w:hAnsiTheme="majorBidi" w:cstheme="majorBidi"/>
          <w:i/>
          <w:iCs/>
          <w:sz w:val="24"/>
          <w:szCs w:val="24"/>
        </w:rPr>
        <w:t>1</w:t>
      </w:r>
      <w:r>
        <w:rPr>
          <w:rFonts w:asciiTheme="majorBidi" w:hAnsiTheme="majorBidi" w:cstheme="majorBidi"/>
          <w:i/>
          <w:iCs/>
          <w:sz w:val="24"/>
          <w:szCs w:val="24"/>
        </w:rPr>
        <w:t>),</w:t>
      </w:r>
      <w:r w:rsidRPr="008B7DE6">
        <w:rPr>
          <w:rFonts w:asciiTheme="majorBidi" w:hAnsiTheme="majorBidi" w:cstheme="majorBidi"/>
          <w:i/>
          <w:iCs/>
          <w:sz w:val="24"/>
          <w:szCs w:val="24"/>
        </w:rPr>
        <w:t xml:space="preserve"> 1-22</w:t>
      </w:r>
    </w:p>
    <w:p w14:paraId="586108B6" w14:textId="77777777" w:rsidR="00EF6AD8" w:rsidRDefault="00EF6AD8" w:rsidP="00BD0B3A">
      <w:pPr>
        <w:ind w:left="900" w:hanging="90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Katz, A. (20</w:t>
      </w:r>
      <w:r w:rsidRPr="00FA6E0B">
        <w:rPr>
          <w:rFonts w:asciiTheme="majorBidi" w:hAnsiTheme="majorBidi" w:cstheme="majorBidi"/>
          <w:sz w:val="24"/>
          <w:szCs w:val="24"/>
          <w:lang w:bidi="fa-IR"/>
        </w:rPr>
        <w:t>1</w:t>
      </w:r>
      <w:r>
        <w:rPr>
          <w:rFonts w:asciiTheme="majorBidi" w:hAnsiTheme="majorBidi" w:cstheme="majorBidi"/>
          <w:sz w:val="24"/>
          <w:szCs w:val="24"/>
          <w:lang w:bidi="fa-IR"/>
        </w:rPr>
        <w:t>4). Assessment in second language classrooms</w:t>
      </w:r>
      <w:r w:rsidRPr="00FA6E0B">
        <w:rPr>
          <w:rFonts w:asciiTheme="majorBidi" w:hAnsiTheme="majorBidi" w:cstheme="majorBidi"/>
          <w:sz w:val="24"/>
          <w:szCs w:val="24"/>
          <w:lang w:bidi="fa-IR"/>
        </w:rPr>
        <w:t xml:space="preserve">. In M. </w:t>
      </w:r>
      <w:proofErr w:type="spellStart"/>
      <w:r w:rsidRPr="00FA6E0B">
        <w:rPr>
          <w:rFonts w:asciiTheme="majorBidi" w:hAnsiTheme="majorBidi" w:cstheme="majorBidi"/>
          <w:sz w:val="24"/>
          <w:szCs w:val="24"/>
          <w:lang w:bidi="fa-IR"/>
        </w:rPr>
        <w:t>Celce</w:t>
      </w:r>
      <w:proofErr w:type="spellEnd"/>
      <w:r w:rsidRPr="00FA6E0B">
        <w:rPr>
          <w:rFonts w:asciiTheme="majorBidi" w:hAnsiTheme="majorBidi" w:cstheme="majorBidi"/>
          <w:sz w:val="24"/>
          <w:szCs w:val="24"/>
          <w:lang w:bidi="fa-IR"/>
        </w:rPr>
        <w:t>-Murcia</w:t>
      </w:r>
      <w:r>
        <w:rPr>
          <w:rFonts w:asciiTheme="majorBidi" w:hAnsiTheme="majorBidi" w:cstheme="majorBidi"/>
          <w:sz w:val="24"/>
          <w:szCs w:val="24"/>
          <w:lang w:bidi="fa-IR"/>
        </w:rPr>
        <w:t>, D. M. Brinton, &amp; M. A. Snow</w:t>
      </w:r>
      <w:r w:rsidRPr="00FA6E0B">
        <w:rPr>
          <w:rFonts w:asciiTheme="majorBidi" w:hAnsiTheme="majorBidi" w:cstheme="majorBidi"/>
          <w:sz w:val="24"/>
          <w:szCs w:val="24"/>
          <w:lang w:bidi="fa-IR"/>
        </w:rPr>
        <w:t xml:space="preserve"> (Eds.), </w:t>
      </w:r>
      <w:r w:rsidRPr="00FA6E0B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Teaching English as a second or foreign language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(pp. 320-337). London: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Heinle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Cengage</w:t>
      </w:r>
      <w:r w:rsidRPr="00FA6E0B">
        <w:rPr>
          <w:rFonts w:asciiTheme="majorBidi" w:hAnsiTheme="majorBidi" w:cstheme="majorBidi"/>
          <w:sz w:val="24"/>
          <w:szCs w:val="24"/>
          <w:lang w:bidi="fa-IR"/>
        </w:rPr>
        <w:t xml:space="preserve"> Learning.</w:t>
      </w:r>
    </w:p>
    <w:p w14:paraId="1D981DC3" w14:textId="77777777" w:rsidR="00273F43" w:rsidRDefault="009055E8" w:rsidP="00025E10">
      <w:pPr>
        <w:ind w:left="900" w:hanging="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Koh</w:t>
      </w:r>
      <w:r w:rsidR="00273F43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A40F90">
        <w:rPr>
          <w:rFonts w:asciiTheme="majorBidi" w:hAnsiTheme="majorBidi" w:cstheme="majorBidi"/>
          <w:sz w:val="24"/>
          <w:szCs w:val="24"/>
        </w:rPr>
        <w:t>K., Burke, L. E. C., Luke, A., Gong, W., &amp; Tan, C.  (2017)</w:t>
      </w:r>
      <w:r w:rsidR="00273F43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025E10" w:rsidRP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Developing the assessment</w:t>
      </w:r>
      <w:r w:rsidR="00025E10" w:rsidRPr="00025E10">
        <w:rPr>
          <w:rFonts w:ascii="Times New Roman" w:hAnsi="Times New Roman" w:cs="Times New Roman"/>
          <w:b/>
          <w:bCs/>
          <w:color w:val="231F20"/>
          <w:sz w:val="24"/>
          <w:szCs w:val="24"/>
        </w:rPr>
        <w:br/>
      </w:r>
      <w:r w:rsid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literacy </w:t>
      </w:r>
      <w:r w:rsidR="00025E10" w:rsidRP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of teachers in Chinese</w:t>
      </w:r>
      <w:r w:rsidR="00025E1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language classrooms: </w:t>
      </w:r>
      <w:r w:rsidR="00025E10" w:rsidRP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A focus</w:t>
      </w:r>
      <w:r w:rsidR="00025E1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025E10" w:rsidRP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on assessment task desig</w:t>
      </w:r>
      <w:r w:rsidR="00025E10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273F43" w:rsidRPr="00025E10">
        <w:rPr>
          <w:rFonts w:ascii="Times New Roman" w:hAnsi="Times New Roman" w:cs="Times New Roman"/>
          <w:b/>
          <w:bCs/>
          <w:sz w:val="24"/>
          <w:szCs w:val="24"/>
          <w:lang w:bidi="fa-IR"/>
        </w:rPr>
        <w:t>.</w:t>
      </w:r>
      <w:r w:rsidR="00273F4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A07D5">
        <w:rPr>
          <w:rFonts w:asciiTheme="majorBidi" w:hAnsiTheme="majorBidi" w:cstheme="majorBidi"/>
          <w:i/>
          <w:iCs/>
          <w:sz w:val="24"/>
          <w:szCs w:val="24"/>
          <w:lang w:bidi="fa-IR"/>
        </w:rPr>
        <w:t>Language Te</w:t>
      </w:r>
      <w:r w:rsidR="00025E10">
        <w:rPr>
          <w:rFonts w:asciiTheme="majorBidi" w:hAnsiTheme="majorBidi" w:cstheme="majorBidi"/>
          <w:i/>
          <w:iCs/>
          <w:sz w:val="24"/>
          <w:szCs w:val="24"/>
          <w:lang w:bidi="fa-IR"/>
        </w:rPr>
        <w:t>aching Research</w:t>
      </w:r>
      <w:r w:rsidR="00704430">
        <w:rPr>
          <w:rFonts w:asciiTheme="majorBidi" w:hAnsiTheme="majorBidi" w:cstheme="majorBidi"/>
          <w:i/>
          <w:iCs/>
          <w:sz w:val="24"/>
          <w:szCs w:val="24"/>
          <w:lang w:bidi="fa-IR"/>
        </w:rPr>
        <w:t>,</w:t>
      </w:r>
      <w:r w:rsidR="00E41326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0E4E77">
        <w:rPr>
          <w:rFonts w:asciiTheme="majorBidi" w:hAnsiTheme="majorBidi" w:cstheme="majorBidi"/>
          <w:i/>
          <w:iCs/>
          <w:sz w:val="24"/>
          <w:szCs w:val="24"/>
          <w:lang w:bidi="fa-IR"/>
        </w:rPr>
        <w:t>22(3),</w:t>
      </w:r>
      <w:r w:rsidR="00704430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025E10">
        <w:rPr>
          <w:rFonts w:asciiTheme="majorBidi" w:hAnsiTheme="majorBidi" w:cstheme="majorBidi"/>
          <w:i/>
          <w:iCs/>
          <w:sz w:val="24"/>
          <w:szCs w:val="24"/>
          <w:lang w:bidi="fa-IR"/>
        </w:rPr>
        <w:t>1</w:t>
      </w:r>
      <w:r w:rsidR="00273F43" w:rsidRPr="00273F43">
        <w:rPr>
          <w:rFonts w:asciiTheme="majorBidi" w:hAnsiTheme="majorBidi" w:cstheme="majorBidi"/>
          <w:i/>
          <w:iCs/>
          <w:sz w:val="24"/>
          <w:szCs w:val="24"/>
          <w:lang w:bidi="fa-IR"/>
        </w:rPr>
        <w:t>-</w:t>
      </w:r>
      <w:r w:rsidR="00025E10">
        <w:rPr>
          <w:rFonts w:asciiTheme="majorBidi" w:hAnsiTheme="majorBidi" w:cstheme="majorBidi"/>
          <w:i/>
          <w:iCs/>
          <w:sz w:val="24"/>
          <w:szCs w:val="24"/>
          <w:lang w:bidi="fa-IR"/>
        </w:rPr>
        <w:t>25</w:t>
      </w:r>
      <w:r w:rsidR="00273F43" w:rsidRPr="00273F43">
        <w:rPr>
          <w:rFonts w:asciiTheme="majorBidi" w:hAnsiTheme="majorBidi" w:cstheme="majorBidi"/>
          <w:i/>
          <w:iCs/>
          <w:sz w:val="24"/>
          <w:szCs w:val="24"/>
          <w:lang w:bidi="fa-IR"/>
        </w:rPr>
        <w:t>.</w:t>
      </w:r>
      <w:r w:rsidR="00273F4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40F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6FBA8E0A" w14:textId="77777777" w:rsidR="002C77B8" w:rsidRDefault="002C77B8" w:rsidP="001373AB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Poehner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M. E. (2008). </w:t>
      </w:r>
      <w:r w:rsidRPr="00BD0B3A">
        <w:rPr>
          <w:rFonts w:asciiTheme="majorBidi" w:hAnsiTheme="majorBidi" w:cstheme="majorBidi"/>
          <w:i/>
          <w:iCs/>
          <w:sz w:val="24"/>
          <w:szCs w:val="24"/>
        </w:rPr>
        <w:t>Dynamic assessment</w:t>
      </w:r>
      <w:r>
        <w:rPr>
          <w:rFonts w:asciiTheme="majorBidi" w:hAnsiTheme="majorBidi" w:cstheme="majorBidi"/>
          <w:sz w:val="24"/>
          <w:szCs w:val="24"/>
        </w:rPr>
        <w:t xml:space="preserve">: A Vygotskian approach to understanding and promoting L2 development. Springer. </w:t>
      </w:r>
    </w:p>
    <w:p w14:paraId="62E80B6B" w14:textId="77777777" w:rsidR="005B0C80" w:rsidRPr="00405422" w:rsidRDefault="009B0442" w:rsidP="001373AB">
      <w:pPr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Watanabe, Y. (2004). Methodology in washback studies. </w:t>
      </w:r>
      <w:r w:rsidR="00D06B45">
        <w:rPr>
          <w:rFonts w:asciiTheme="majorBidi" w:hAnsiTheme="majorBidi" w:cstheme="majorBidi"/>
          <w:sz w:val="24"/>
          <w:szCs w:val="24"/>
          <w:lang w:bidi="fa-IR"/>
        </w:rPr>
        <w:t xml:space="preserve">In L. Cheng, Y. Watanabe, &amp; A. Curtis (Eds.), </w:t>
      </w:r>
      <w:r w:rsidR="00D06B45" w:rsidRPr="009B0442">
        <w:rPr>
          <w:rFonts w:asciiTheme="majorBidi" w:hAnsiTheme="majorBidi" w:cstheme="majorBidi"/>
          <w:i/>
          <w:iCs/>
          <w:sz w:val="24"/>
          <w:szCs w:val="24"/>
          <w:lang w:bidi="fa-IR"/>
        </w:rPr>
        <w:t>Washback in language testing: Research contexts and methods</w:t>
      </w:r>
      <w:r w:rsidR="00D06B45">
        <w:rPr>
          <w:rFonts w:asciiTheme="majorBidi" w:hAnsiTheme="majorBidi" w:cstheme="majorBidi"/>
          <w:sz w:val="24"/>
          <w:szCs w:val="24"/>
          <w:lang w:bidi="fa-IR"/>
        </w:rPr>
        <w:t xml:space="preserve"> (pp. 19-36). London: </w:t>
      </w:r>
      <w:r w:rsidR="00D06B45" w:rsidRPr="009B0442">
        <w:rPr>
          <w:rFonts w:asciiTheme="majorBidi" w:hAnsiTheme="majorBidi" w:cstheme="majorBidi"/>
          <w:sz w:val="24"/>
          <w:szCs w:val="24"/>
          <w:lang w:bidi="fa-IR"/>
        </w:rPr>
        <w:t>L</w:t>
      </w:r>
      <w:r w:rsidR="00D06B45">
        <w:rPr>
          <w:rFonts w:asciiTheme="majorBidi" w:hAnsiTheme="majorBidi" w:cstheme="majorBidi"/>
          <w:sz w:val="24"/>
          <w:szCs w:val="24"/>
          <w:lang w:bidi="fa-IR"/>
        </w:rPr>
        <w:t>awrence</w:t>
      </w:r>
      <w:r w:rsidR="00D06B45" w:rsidRPr="009B044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06B45">
        <w:rPr>
          <w:rFonts w:asciiTheme="majorBidi" w:hAnsiTheme="majorBidi" w:cstheme="majorBidi"/>
          <w:sz w:val="24"/>
          <w:szCs w:val="24"/>
          <w:lang w:bidi="fa-IR"/>
        </w:rPr>
        <w:t>Erlbaum Associates, Publisher.</w:t>
      </w:r>
    </w:p>
    <w:p w14:paraId="7B0AF663" w14:textId="77777777" w:rsidR="00FC1B0B" w:rsidRPr="00F8005C" w:rsidRDefault="00FC1B0B" w:rsidP="00EC7E2B">
      <w:pPr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☺: </w:t>
      </w:r>
      <w:r w:rsidRPr="00F8005C">
        <w:rPr>
          <w:rFonts w:asciiTheme="majorBidi" w:hAnsiTheme="majorBidi" w:cstheme="majorBidi"/>
          <w:b/>
          <w:bCs/>
          <w:i/>
          <w:iCs/>
          <w:sz w:val="24"/>
          <w:szCs w:val="24"/>
        </w:rPr>
        <w:t>The syllabus is subject to modification.</w:t>
      </w:r>
    </w:p>
    <w:sectPr w:rsidR="00FC1B0B" w:rsidRPr="00F800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39FF" w14:textId="77777777" w:rsidR="00281AA0" w:rsidRDefault="00281AA0" w:rsidP="004604D7">
      <w:pPr>
        <w:spacing w:after="0" w:line="240" w:lineRule="auto"/>
      </w:pPr>
      <w:r>
        <w:separator/>
      </w:r>
    </w:p>
  </w:endnote>
  <w:endnote w:type="continuationSeparator" w:id="0">
    <w:p w14:paraId="3A94CE3A" w14:textId="77777777" w:rsidR="00281AA0" w:rsidRDefault="00281AA0" w:rsidP="0046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St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772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3D60C" w14:textId="77777777" w:rsidR="004604D7" w:rsidRDefault="004604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3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A76F36" w14:textId="77777777" w:rsidR="004604D7" w:rsidRDefault="00460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FE09" w14:textId="77777777" w:rsidR="00281AA0" w:rsidRDefault="00281AA0" w:rsidP="004604D7">
      <w:pPr>
        <w:spacing w:after="0" w:line="240" w:lineRule="auto"/>
      </w:pPr>
      <w:r>
        <w:separator/>
      </w:r>
    </w:p>
  </w:footnote>
  <w:footnote w:type="continuationSeparator" w:id="0">
    <w:p w14:paraId="72264CC2" w14:textId="77777777" w:rsidR="00281AA0" w:rsidRDefault="00281AA0" w:rsidP="0046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A54"/>
    <w:multiLevelType w:val="hybridMultilevel"/>
    <w:tmpl w:val="650E468E"/>
    <w:lvl w:ilvl="0" w:tplc="2F7651FC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74AC"/>
    <w:multiLevelType w:val="hybridMultilevel"/>
    <w:tmpl w:val="55A40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33EEF"/>
    <w:multiLevelType w:val="hybridMultilevel"/>
    <w:tmpl w:val="B99A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0427"/>
    <w:multiLevelType w:val="hybridMultilevel"/>
    <w:tmpl w:val="D3701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55F7"/>
    <w:multiLevelType w:val="hybridMultilevel"/>
    <w:tmpl w:val="B04265C8"/>
    <w:lvl w:ilvl="0" w:tplc="0108D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EF"/>
    <w:rsid w:val="00002FAC"/>
    <w:rsid w:val="000044E4"/>
    <w:rsid w:val="00015809"/>
    <w:rsid w:val="00025E10"/>
    <w:rsid w:val="00031346"/>
    <w:rsid w:val="000328DC"/>
    <w:rsid w:val="000A188F"/>
    <w:rsid w:val="000B70CB"/>
    <w:rsid w:val="000D11BD"/>
    <w:rsid w:val="000E4E77"/>
    <w:rsid w:val="000F01CA"/>
    <w:rsid w:val="000F110B"/>
    <w:rsid w:val="00136F8D"/>
    <w:rsid w:val="001373AB"/>
    <w:rsid w:val="00170FAA"/>
    <w:rsid w:val="001A41DF"/>
    <w:rsid w:val="001A74AD"/>
    <w:rsid w:val="001B6DD5"/>
    <w:rsid w:val="001D7882"/>
    <w:rsid w:val="001E3F2E"/>
    <w:rsid w:val="001F3909"/>
    <w:rsid w:val="002133D7"/>
    <w:rsid w:val="00217F61"/>
    <w:rsid w:val="002361B9"/>
    <w:rsid w:val="0023758D"/>
    <w:rsid w:val="002403B9"/>
    <w:rsid w:val="002521B6"/>
    <w:rsid w:val="00273F43"/>
    <w:rsid w:val="00277B7E"/>
    <w:rsid w:val="00281AA0"/>
    <w:rsid w:val="00296454"/>
    <w:rsid w:val="002B675A"/>
    <w:rsid w:val="002C00A2"/>
    <w:rsid w:val="002C0D40"/>
    <w:rsid w:val="002C77B8"/>
    <w:rsid w:val="002F1EA5"/>
    <w:rsid w:val="002F5F93"/>
    <w:rsid w:val="00320C03"/>
    <w:rsid w:val="00333549"/>
    <w:rsid w:val="003A4980"/>
    <w:rsid w:val="003B59A6"/>
    <w:rsid w:val="003C2296"/>
    <w:rsid w:val="003F10F8"/>
    <w:rsid w:val="00400965"/>
    <w:rsid w:val="00405422"/>
    <w:rsid w:val="00425F33"/>
    <w:rsid w:val="00426FF6"/>
    <w:rsid w:val="00427FE5"/>
    <w:rsid w:val="0045318D"/>
    <w:rsid w:val="00456168"/>
    <w:rsid w:val="004604D7"/>
    <w:rsid w:val="00466076"/>
    <w:rsid w:val="00485380"/>
    <w:rsid w:val="0049051C"/>
    <w:rsid w:val="00491C79"/>
    <w:rsid w:val="00497D23"/>
    <w:rsid w:val="004C425A"/>
    <w:rsid w:val="004E1533"/>
    <w:rsid w:val="0050112B"/>
    <w:rsid w:val="00534464"/>
    <w:rsid w:val="00534CDC"/>
    <w:rsid w:val="005476F2"/>
    <w:rsid w:val="00560CDA"/>
    <w:rsid w:val="005667CC"/>
    <w:rsid w:val="005B0C80"/>
    <w:rsid w:val="005C5C6A"/>
    <w:rsid w:val="005D6568"/>
    <w:rsid w:val="006001EF"/>
    <w:rsid w:val="00601EE1"/>
    <w:rsid w:val="006149A6"/>
    <w:rsid w:val="0063459A"/>
    <w:rsid w:val="00660B7C"/>
    <w:rsid w:val="00686F56"/>
    <w:rsid w:val="00693BE8"/>
    <w:rsid w:val="006C2DC1"/>
    <w:rsid w:val="006D322D"/>
    <w:rsid w:val="006E4BE4"/>
    <w:rsid w:val="006F13B8"/>
    <w:rsid w:val="006F64AC"/>
    <w:rsid w:val="00704430"/>
    <w:rsid w:val="00713696"/>
    <w:rsid w:val="00767C67"/>
    <w:rsid w:val="0077368F"/>
    <w:rsid w:val="00795C7A"/>
    <w:rsid w:val="007B0DF4"/>
    <w:rsid w:val="007B18E0"/>
    <w:rsid w:val="007C76C7"/>
    <w:rsid w:val="007D4D3E"/>
    <w:rsid w:val="007D71ED"/>
    <w:rsid w:val="007F23F4"/>
    <w:rsid w:val="00855FCD"/>
    <w:rsid w:val="008A1F75"/>
    <w:rsid w:val="008B7DE6"/>
    <w:rsid w:val="008D47BF"/>
    <w:rsid w:val="008F746D"/>
    <w:rsid w:val="008F75F7"/>
    <w:rsid w:val="009055E8"/>
    <w:rsid w:val="00910CFD"/>
    <w:rsid w:val="0092358E"/>
    <w:rsid w:val="009363EE"/>
    <w:rsid w:val="009738CD"/>
    <w:rsid w:val="00981E19"/>
    <w:rsid w:val="009A2823"/>
    <w:rsid w:val="009B0442"/>
    <w:rsid w:val="009D2514"/>
    <w:rsid w:val="009E406C"/>
    <w:rsid w:val="009F090E"/>
    <w:rsid w:val="00A336B3"/>
    <w:rsid w:val="00A355DB"/>
    <w:rsid w:val="00A40F90"/>
    <w:rsid w:val="00A413B7"/>
    <w:rsid w:val="00A5194F"/>
    <w:rsid w:val="00A77D44"/>
    <w:rsid w:val="00A84813"/>
    <w:rsid w:val="00AA051F"/>
    <w:rsid w:val="00AE0A53"/>
    <w:rsid w:val="00AF7D8F"/>
    <w:rsid w:val="00B13C55"/>
    <w:rsid w:val="00B27369"/>
    <w:rsid w:val="00B4460C"/>
    <w:rsid w:val="00B63089"/>
    <w:rsid w:val="00B82BE9"/>
    <w:rsid w:val="00BB7BE7"/>
    <w:rsid w:val="00BD0B3A"/>
    <w:rsid w:val="00BD34B9"/>
    <w:rsid w:val="00BD58C0"/>
    <w:rsid w:val="00C224DF"/>
    <w:rsid w:val="00C272B3"/>
    <w:rsid w:val="00C545AC"/>
    <w:rsid w:val="00C56E1A"/>
    <w:rsid w:val="00C901A0"/>
    <w:rsid w:val="00CA552E"/>
    <w:rsid w:val="00CB31E8"/>
    <w:rsid w:val="00CD74DF"/>
    <w:rsid w:val="00D06B45"/>
    <w:rsid w:val="00D33599"/>
    <w:rsid w:val="00D44CCB"/>
    <w:rsid w:val="00D5408F"/>
    <w:rsid w:val="00D662EF"/>
    <w:rsid w:val="00D70724"/>
    <w:rsid w:val="00D7689B"/>
    <w:rsid w:val="00D76F49"/>
    <w:rsid w:val="00D806BF"/>
    <w:rsid w:val="00DA07D5"/>
    <w:rsid w:val="00DA1172"/>
    <w:rsid w:val="00DA70E0"/>
    <w:rsid w:val="00DB6420"/>
    <w:rsid w:val="00DC461F"/>
    <w:rsid w:val="00DC5961"/>
    <w:rsid w:val="00E00DCD"/>
    <w:rsid w:val="00E10358"/>
    <w:rsid w:val="00E16B22"/>
    <w:rsid w:val="00E41326"/>
    <w:rsid w:val="00E85CEC"/>
    <w:rsid w:val="00E96529"/>
    <w:rsid w:val="00EC208F"/>
    <w:rsid w:val="00EC21B7"/>
    <w:rsid w:val="00EC7E2B"/>
    <w:rsid w:val="00EE46EA"/>
    <w:rsid w:val="00EE7D92"/>
    <w:rsid w:val="00EF6AD8"/>
    <w:rsid w:val="00F179A9"/>
    <w:rsid w:val="00F55802"/>
    <w:rsid w:val="00F57152"/>
    <w:rsid w:val="00F64C9B"/>
    <w:rsid w:val="00F8005C"/>
    <w:rsid w:val="00F825AF"/>
    <w:rsid w:val="00F85DDC"/>
    <w:rsid w:val="00F9620B"/>
    <w:rsid w:val="00FB1D04"/>
    <w:rsid w:val="00FC1B0B"/>
    <w:rsid w:val="00FE247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/"/>
  <w:listSeparator w:val="؛"/>
  <w14:docId w14:val="73894C93"/>
  <w15:docId w15:val="{FF6C4283-B734-4728-B6E8-325104D8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8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788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4D7"/>
  </w:style>
  <w:style w:type="paragraph" w:styleId="Footer">
    <w:name w:val="footer"/>
    <w:basedOn w:val="Normal"/>
    <w:link w:val="FooterChar"/>
    <w:uiPriority w:val="99"/>
    <w:unhideWhenUsed/>
    <w:rsid w:val="0046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4D7"/>
  </w:style>
  <w:style w:type="paragraph" w:styleId="FootnoteText">
    <w:name w:val="footnote text"/>
    <w:basedOn w:val="Normal"/>
    <w:link w:val="FootnoteTextChar"/>
    <w:semiHidden/>
    <w:rsid w:val="005B0C80"/>
    <w:pPr>
      <w:spacing w:before="60" w:after="0" w:line="20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B0C8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5B0C80"/>
    <w:rPr>
      <w:vertAlign w:val="superscript"/>
    </w:rPr>
  </w:style>
  <w:style w:type="paragraph" w:styleId="BodyTextIndent2">
    <w:name w:val="Body Text Indent 2"/>
    <w:basedOn w:val="Normal"/>
    <w:link w:val="BodyTextIndent2Char"/>
    <w:rsid w:val="005B0C80"/>
    <w:pPr>
      <w:spacing w:before="60" w:after="0" w:line="20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B0C8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C229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025E10"/>
    <w:rPr>
      <w:rFonts w:ascii="GillSansStd-Bold" w:hAnsi="GillSansStd-Bold" w:hint="default"/>
      <w:b/>
      <w:bCs/>
      <w:i w:val="0"/>
      <w:iCs w:val="0"/>
      <w:color w:val="231F2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mirsanj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Mahmood</dc:creator>
  <cp:lastModifiedBy>محمد مهدی آذین</cp:lastModifiedBy>
  <cp:revision>159</cp:revision>
  <cp:lastPrinted>2014-10-10T19:42:00Z</cp:lastPrinted>
  <dcterms:created xsi:type="dcterms:W3CDTF">2014-09-08T10:15:00Z</dcterms:created>
  <dcterms:modified xsi:type="dcterms:W3CDTF">2022-09-25T06:14:00Z</dcterms:modified>
</cp:coreProperties>
</file>